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36" w:rsidRPr="001D0636" w:rsidRDefault="008253E6" w:rsidP="009026AA">
      <w:pPr>
        <w:spacing w:before="60" w:after="60"/>
        <w:jc w:val="both"/>
        <w:rPr>
          <w:lang w:val="en-US"/>
        </w:rPr>
      </w:pPr>
      <w:r>
        <w:rPr>
          <w:lang w:val="en-US"/>
        </w:rPr>
        <w:t>In Reference 1</w:t>
      </w:r>
      <w:r w:rsidRPr="001D0636">
        <w:rPr>
          <w:lang w:val="en-US"/>
        </w:rPr>
        <w:t xml:space="preserve"> </w:t>
      </w:r>
      <w:r w:rsidR="001D0636" w:rsidRPr="001D0636">
        <w:rPr>
          <w:lang w:val="en-US"/>
        </w:rPr>
        <w:t>a normal distribution has been utilized to model the geometric probability that an aberrant vessel is on collision course with a bridge element. Ship LOA has been used as standard deviation.</w:t>
      </w: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  <w:r w:rsidRPr="001D0636">
        <w:rPr>
          <w:lang w:val="en-US"/>
        </w:rPr>
        <w:t>This report presents estimates on standard deviation based on analysis of AIS data from 01.01.2012 to 01.05.2016. It was not found any clear relation between LOA and standard.</w:t>
      </w: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  <w:r w:rsidRPr="001D0636">
        <w:rPr>
          <w:lang w:val="en-US"/>
        </w:rPr>
        <w:t xml:space="preserve">From the work performed it was found that all inbound vessels, i.e. vessels sailing eastward through the channel, should be modeled using a standard deviation of 171 m and it should be 83 m for outbound vessels. Inbound vessels approach the bridge at an angle and is therefore modelled using a larger standard deviation. </w:t>
      </w: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  <w:r w:rsidRPr="001D0636">
        <w:rPr>
          <w:lang w:val="en-US"/>
        </w:rPr>
        <w:t xml:space="preserve">Estimates on number of passing vessels was found for the years 2012-2016 based on AIS data. Predictions for the year 2119 is made based on an annual increase of 2 % starting from 2015. The total number of passing vessels in 2015 was found to be 768 and predicted to be 5,999 in 2119. </w:t>
      </w:r>
    </w:p>
    <w:p w:rsidR="001D0636" w:rsidRPr="001D0636" w:rsidRDefault="001D0636" w:rsidP="009026AA">
      <w:pPr>
        <w:spacing w:before="60" w:after="60"/>
        <w:jc w:val="both"/>
        <w:rPr>
          <w:lang w:val="en-US"/>
        </w:rPr>
      </w:pPr>
    </w:p>
    <w:p w:rsidR="001D0636" w:rsidRPr="001D0636" w:rsidRDefault="001D0636" w:rsidP="009026AA">
      <w:pPr>
        <w:jc w:val="both"/>
        <w:rPr>
          <w:lang w:val="en-US"/>
        </w:rPr>
      </w:pPr>
      <w:r w:rsidRPr="001D0636">
        <w:rPr>
          <w:lang w:val="en-US"/>
        </w:rPr>
        <w:t xml:space="preserve">The annual frequency of collapse for the </w:t>
      </w:r>
      <w:proofErr w:type="spellStart"/>
      <w:r w:rsidRPr="001D0636">
        <w:rPr>
          <w:lang w:val="en-US"/>
        </w:rPr>
        <w:t>Chacao</w:t>
      </w:r>
      <w:proofErr w:type="spellEnd"/>
      <w:r w:rsidRPr="001D0636">
        <w:rPr>
          <w:lang w:val="en-US"/>
        </w:rPr>
        <w:t xml:space="preserve"> bridge caused by powered and drifting vessels was found to be 3.3E-05 based on predicted traffic in 2119, i.e. a return period of 30,039 years. Powered vessels contributed to this frequency with 3.02E-05 per year while drifting vessels contributed 3.07E-06 per year.</w:t>
      </w:r>
    </w:p>
    <w:p w:rsidR="001D0636" w:rsidRPr="008253E6" w:rsidRDefault="001D0636" w:rsidP="009026AA">
      <w:pPr>
        <w:spacing w:before="60" w:after="60"/>
        <w:jc w:val="both"/>
        <w:rPr>
          <w:lang w:val="en-US"/>
        </w:rPr>
      </w:pPr>
    </w:p>
    <w:p w:rsidR="001D0636" w:rsidRPr="008253E6" w:rsidRDefault="001D0636" w:rsidP="009026AA">
      <w:pPr>
        <w:spacing w:before="60" w:after="60"/>
        <w:jc w:val="both"/>
        <w:rPr>
          <w:lang w:val="en-US"/>
        </w:rPr>
      </w:pPr>
    </w:p>
    <w:p w:rsidR="001D0636" w:rsidRPr="008253E6" w:rsidRDefault="001D0636" w:rsidP="009026AA">
      <w:pPr>
        <w:spacing w:before="60" w:after="60"/>
        <w:jc w:val="both"/>
        <w:rPr>
          <w:lang w:val="en-US"/>
        </w:rPr>
      </w:pPr>
    </w:p>
    <w:p w:rsidR="009026AA" w:rsidRPr="008253E6" w:rsidRDefault="009026AA" w:rsidP="009026AA">
      <w:pPr>
        <w:spacing w:before="60" w:after="60"/>
        <w:jc w:val="both"/>
        <w:rPr>
          <w:lang w:val="en-US"/>
        </w:rPr>
      </w:pPr>
    </w:p>
    <w:p w:rsidR="001D0636" w:rsidRDefault="001D0636" w:rsidP="009026AA">
      <w:pPr>
        <w:spacing w:before="60" w:after="60"/>
        <w:jc w:val="both"/>
        <w:rPr>
          <w:lang w:val="es-ES"/>
        </w:rPr>
      </w:pPr>
      <w:r w:rsidRPr="00125D6A">
        <w:rPr>
          <w:lang w:val="es-ES"/>
        </w:rPr>
        <w:t xml:space="preserve">En </w:t>
      </w:r>
      <w:r w:rsidR="008253E6">
        <w:rPr>
          <w:lang w:val="es-ES"/>
        </w:rPr>
        <w:t xml:space="preserve">Referencia 1 </w:t>
      </w:r>
      <w:r w:rsidRPr="00125D6A">
        <w:rPr>
          <w:lang w:val="es-ES"/>
        </w:rPr>
        <w:t xml:space="preserve">se ha utilizado una distribución normal para modelar la probabilidad geométrica de una embarcación anómala en vía de colisión con un elemento del puente. Se ha tomado a la embarcación LOA como una desviación estándar. </w:t>
      </w:r>
    </w:p>
    <w:p w:rsidR="009026AA" w:rsidRPr="00125D6A" w:rsidRDefault="009026AA" w:rsidP="009026AA">
      <w:pPr>
        <w:spacing w:before="60" w:after="60"/>
        <w:jc w:val="both"/>
        <w:rPr>
          <w:lang w:val="es-ES"/>
        </w:rPr>
      </w:pPr>
    </w:p>
    <w:p w:rsidR="001D0636" w:rsidRPr="00125D6A" w:rsidRDefault="001D0636" w:rsidP="009026AA">
      <w:pPr>
        <w:spacing w:before="60" w:after="60"/>
        <w:jc w:val="both"/>
        <w:rPr>
          <w:lang w:val="es-ES"/>
        </w:rPr>
      </w:pPr>
      <w:bookmarkStart w:id="0" w:name="_GoBack"/>
      <w:bookmarkEnd w:id="0"/>
      <w:r w:rsidRPr="00125D6A">
        <w:rPr>
          <w:lang w:val="es-ES"/>
        </w:rPr>
        <w:t>Las estimaciones del presente informe sobre desviación estándar se basan en el análisis de datos AIS desde 01.01.2012 hasta 01.05.2016. No se encontró ninguna relación clara entre LOA y estándar.</w:t>
      </w:r>
    </w:p>
    <w:p w:rsidR="001D0636" w:rsidRPr="00125D6A" w:rsidRDefault="001D0636" w:rsidP="009026AA">
      <w:pPr>
        <w:spacing w:before="60" w:after="60"/>
        <w:jc w:val="both"/>
        <w:rPr>
          <w:lang w:val="es-ES"/>
        </w:rPr>
      </w:pPr>
    </w:p>
    <w:p w:rsidR="001D0636" w:rsidRPr="00125D6A" w:rsidRDefault="001D0636" w:rsidP="009026AA">
      <w:pPr>
        <w:spacing w:before="60" w:after="60"/>
        <w:jc w:val="both"/>
        <w:rPr>
          <w:lang w:val="es-ES"/>
        </w:rPr>
      </w:pPr>
      <w:r w:rsidRPr="00125D6A">
        <w:rPr>
          <w:lang w:val="es-ES"/>
        </w:rPr>
        <w:t xml:space="preserve">A partir del trabajo efectuado, se detectó que todas las embarcaciones entrantes, es decir, barcos que </w:t>
      </w:r>
      <w:r>
        <w:rPr>
          <w:lang w:val="es-ES"/>
        </w:rPr>
        <w:t>nave</w:t>
      </w:r>
      <w:r w:rsidRPr="00125D6A">
        <w:rPr>
          <w:lang w:val="es-ES"/>
        </w:rPr>
        <w:t xml:space="preserve">gan en dirección este a través del canal, deberían modelarse, usando una desviación estándar de 171 m y éste debería ser de 83 m para embarcaciones salientes. Las embarcaciones entrantes se aproximan al puente en un ángulo y por lo tanto se modelan, usando una desviación estándar de mayor dimensión. </w:t>
      </w:r>
    </w:p>
    <w:p w:rsidR="001D0636" w:rsidRPr="00125D6A" w:rsidRDefault="001D0636" w:rsidP="009026AA">
      <w:pPr>
        <w:spacing w:before="60" w:after="60"/>
        <w:jc w:val="both"/>
        <w:rPr>
          <w:lang w:val="es-ES"/>
        </w:rPr>
      </w:pPr>
    </w:p>
    <w:p w:rsidR="001D0636" w:rsidRPr="00125D6A" w:rsidRDefault="001D0636" w:rsidP="009026AA">
      <w:pPr>
        <w:spacing w:before="60" w:after="60"/>
        <w:jc w:val="both"/>
        <w:rPr>
          <w:lang w:val="es-ES"/>
        </w:rPr>
      </w:pPr>
      <w:r w:rsidRPr="00125D6A">
        <w:rPr>
          <w:lang w:val="es-ES"/>
        </w:rPr>
        <w:t xml:space="preserve">Las estimaciones sobre el número de embarcaciones de paso se realizaron considerando los años 2012-2016 en base a datos AIS. Las predicciones para el año 2119 se efectuaron en base a un aumento anual del 2 % a partir del 2015. Se detectó que el número total de embarcaciones de paso en el 2015 fue de 768 y se pronosticó la cifra de 5.999 para el 2119. </w:t>
      </w:r>
    </w:p>
    <w:p w:rsidR="001D0636" w:rsidRPr="001D0636" w:rsidRDefault="001D0636" w:rsidP="009026AA">
      <w:pPr>
        <w:jc w:val="both"/>
      </w:pPr>
      <w:r w:rsidRPr="00125D6A">
        <w:rPr>
          <w:lang w:val="es-ES"/>
        </w:rPr>
        <w:t>Se detectó que la frecuencia anual de colapso para el Puente Chacao causado por embarcaciones de gran propulsión y a la deriva fue de 3.3E-05 en base a el tráfico pronosticado para el 2119, es decir, un periodo de retorno de 30.039 años. Las embarcaciones de gran propulsión contribuyeron a esta frecuencia con 3.02E-05 por año, mientras que las embarcaciones de paso contribuyeron a 3.07E-06 por año.</w:t>
      </w:r>
    </w:p>
    <w:sectPr w:rsidR="001D0636" w:rsidRPr="001D0636" w:rsidSect="001D0636">
      <w:headerReference w:type="default" r:id="rId7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69" w:rsidRDefault="00AA2169" w:rsidP="005D5C12">
      <w:pPr>
        <w:spacing w:after="0" w:line="240" w:lineRule="auto"/>
      </w:pPr>
      <w:r>
        <w:separator/>
      </w:r>
    </w:p>
  </w:endnote>
  <w:endnote w:type="continuationSeparator" w:id="0">
    <w:p w:rsidR="00AA2169" w:rsidRDefault="00AA2169" w:rsidP="005D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69" w:rsidRDefault="00AA2169" w:rsidP="005D5C12">
      <w:pPr>
        <w:spacing w:after="0" w:line="240" w:lineRule="auto"/>
      </w:pPr>
      <w:r>
        <w:separator/>
      </w:r>
    </w:p>
  </w:footnote>
  <w:footnote w:type="continuationSeparator" w:id="0">
    <w:p w:rsidR="00AA2169" w:rsidRDefault="00AA2169" w:rsidP="005D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12" w:rsidRPr="005D5C12" w:rsidRDefault="005D5C12" w:rsidP="005D5C12">
    <w:pPr>
      <w:pStyle w:val="Encabezado"/>
      <w:jc w:val="both"/>
      <w:rPr>
        <w:b/>
        <w:lang w:val="en-US"/>
      </w:rPr>
    </w:pPr>
    <w:r w:rsidRPr="005D5C12">
      <w:rPr>
        <w:b/>
        <w:lang w:val="en-US"/>
      </w:rPr>
      <w:t>Translation English to Spanish Sample for a Mega Construction Engineering Company (June 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E7255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D"/>
    <w:rsid w:val="000070E0"/>
    <w:rsid w:val="001D0636"/>
    <w:rsid w:val="005D5C12"/>
    <w:rsid w:val="008253E6"/>
    <w:rsid w:val="009026AA"/>
    <w:rsid w:val="009E3DEA"/>
    <w:rsid w:val="00AA2169"/>
    <w:rsid w:val="00B32004"/>
    <w:rsid w:val="00D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D954"/>
  <w15:chartTrackingRefBased/>
  <w15:docId w15:val="{8B23F5FB-E20E-4006-973F-F4A7CF2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0636"/>
    <w:pPr>
      <w:keepNext/>
      <w:keepLines/>
      <w:pageBreakBefore/>
      <w:numPr>
        <w:numId w:val="1"/>
      </w:numPr>
      <w:spacing w:before="360"/>
      <w:ind w:left="431" w:hanging="431"/>
      <w:jc w:val="both"/>
      <w:outlineLvl w:val="0"/>
    </w:pPr>
    <w:rPr>
      <w:rFonts w:ascii="Arial" w:eastAsiaTheme="majorEastAsia" w:hAnsi="Arial" w:cstheme="majorBidi"/>
      <w:b/>
      <w:bCs/>
      <w:caps/>
      <w:noProof/>
      <w:color w:val="000000" w:themeColor="text1"/>
      <w:sz w:val="28"/>
      <w:szCs w:val="36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636"/>
    <w:pPr>
      <w:keepNext/>
      <w:keepLines/>
      <w:numPr>
        <w:ilvl w:val="1"/>
        <w:numId w:val="1"/>
      </w:numPr>
      <w:spacing w:before="360" w:after="120"/>
      <w:ind w:left="578" w:hanging="578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8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636"/>
    <w:pPr>
      <w:keepNext/>
      <w:keepLines/>
      <w:numPr>
        <w:ilvl w:val="2"/>
        <w:numId w:val="1"/>
      </w:numPr>
      <w:spacing w:before="200" w:after="120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0636"/>
    <w:pPr>
      <w:keepNext/>
      <w:keepLines/>
      <w:numPr>
        <w:ilvl w:val="3"/>
        <w:numId w:val="1"/>
      </w:numPr>
      <w:spacing w:before="200" w:after="120"/>
      <w:ind w:left="862" w:hanging="862"/>
      <w:jc w:val="both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lang w:val="en-GB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0636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Arial" w:eastAsiaTheme="majorEastAsia" w:hAnsi="Arial" w:cstheme="majorBidi"/>
      <w:noProof/>
      <w:color w:val="323E4F" w:themeColor="text2" w:themeShade="BF"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D0636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Arial" w:eastAsiaTheme="majorEastAsia" w:hAnsi="Arial" w:cstheme="majorBidi"/>
      <w:i/>
      <w:iCs/>
      <w:color w:val="323E4F" w:themeColor="text2" w:themeShade="BF"/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D0636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Arial" w:eastAsiaTheme="majorEastAsia" w:hAnsi="Arial" w:cstheme="majorBidi"/>
      <w:i/>
      <w:iCs/>
      <w:color w:val="404040" w:themeColor="text1" w:themeTint="B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0636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0636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636"/>
    <w:rPr>
      <w:rFonts w:ascii="Arial" w:eastAsiaTheme="majorEastAsia" w:hAnsi="Arial" w:cstheme="majorBidi"/>
      <w:b/>
      <w:bCs/>
      <w:caps/>
      <w:noProof/>
      <w:color w:val="000000" w:themeColor="text1"/>
      <w:sz w:val="28"/>
      <w:szCs w:val="3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1D0636"/>
    <w:rPr>
      <w:rFonts w:ascii="Arial" w:eastAsiaTheme="majorEastAsia" w:hAnsi="Arial" w:cstheme="majorBidi"/>
      <w:b/>
      <w:bCs/>
      <w:color w:val="000000" w:themeColor="text1"/>
      <w:sz w:val="24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1D0636"/>
    <w:rPr>
      <w:rFonts w:ascii="Arial" w:eastAsiaTheme="majorEastAsia" w:hAnsi="Arial" w:cstheme="majorBidi"/>
      <w:b/>
      <w:bCs/>
      <w:color w:val="000000" w:themeColor="text1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1D0636"/>
    <w:rPr>
      <w:rFonts w:ascii="Arial" w:eastAsiaTheme="majorEastAsia" w:hAnsi="Arial" w:cstheme="majorBidi"/>
      <w:b/>
      <w:bCs/>
      <w:i/>
      <w:iCs/>
      <w:color w:val="000000" w:themeColor="text1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1D0636"/>
    <w:rPr>
      <w:rFonts w:ascii="Arial" w:eastAsiaTheme="majorEastAsia" w:hAnsi="Arial" w:cstheme="majorBidi"/>
      <w:noProof/>
      <w:color w:val="323E4F" w:themeColor="text2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1D0636"/>
    <w:rPr>
      <w:rFonts w:ascii="Arial" w:eastAsiaTheme="majorEastAsia" w:hAnsi="Arial" w:cstheme="majorBidi"/>
      <w:i/>
      <w:iCs/>
      <w:color w:val="323E4F" w:themeColor="text2" w:themeShade="B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1D0636"/>
    <w:rPr>
      <w:rFonts w:ascii="Arial" w:eastAsiaTheme="majorEastAsia" w:hAnsi="Arial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06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06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D5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C12"/>
  </w:style>
  <w:style w:type="paragraph" w:styleId="Piedepgina">
    <w:name w:val="footer"/>
    <w:basedOn w:val="Normal"/>
    <w:link w:val="PiedepginaCar"/>
    <w:uiPriority w:val="99"/>
    <w:unhideWhenUsed/>
    <w:rsid w:val="005D5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Morales</dc:creator>
  <cp:keywords/>
  <dc:description/>
  <cp:lastModifiedBy>Sergio Morales</cp:lastModifiedBy>
  <cp:revision>6</cp:revision>
  <cp:lastPrinted>2017-06-10T21:19:00Z</cp:lastPrinted>
  <dcterms:created xsi:type="dcterms:W3CDTF">2017-06-10T20:40:00Z</dcterms:created>
  <dcterms:modified xsi:type="dcterms:W3CDTF">2017-06-10T21:19:00Z</dcterms:modified>
</cp:coreProperties>
</file>